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24D7D" w14:textId="77777777" w:rsidR="009926B9" w:rsidRDefault="00833F99">
      <w:pPr>
        <w:spacing w:after="240"/>
        <w:jc w:val="center"/>
      </w:pPr>
      <w:r>
        <w:rPr>
          <w:b/>
          <w:bCs/>
          <w:sz w:val="28"/>
          <w:szCs w:val="28"/>
        </w:rPr>
        <w:t>Article Title</w:t>
      </w:r>
    </w:p>
    <w:p w14:paraId="1473BD4F" w14:textId="77777777" w:rsidR="009926B9" w:rsidRDefault="00833F99">
      <w:pPr>
        <w:spacing w:after="60"/>
        <w:jc w:val="center"/>
      </w:pPr>
      <w:r>
        <w:rPr>
          <w:sz w:val="24"/>
          <w:szCs w:val="24"/>
        </w:rPr>
        <w:t>First Author</w:t>
      </w:r>
      <w:proofErr w:type="gramStart"/>
      <w:r>
        <w:rPr>
          <w:sz w:val="24"/>
          <w:szCs w:val="24"/>
          <w:vertAlign w:val="superscript"/>
        </w:rPr>
        <w:t>1,*</w:t>
      </w:r>
      <w:proofErr w:type="gramEnd"/>
      <w:r>
        <w:rPr>
          <w:sz w:val="18"/>
          <w:szCs w:val="18"/>
        </w:rPr>
        <w:t xml:space="preserve"> [0000-1111-2222-3333]</w:t>
      </w:r>
      <w:r>
        <w:rPr>
          <w:sz w:val="24"/>
          <w:szCs w:val="24"/>
        </w:rPr>
        <w:t xml:space="preserve"> and Second Author</w:t>
      </w:r>
      <w:r>
        <w:rPr>
          <w:sz w:val="24"/>
          <w:szCs w:val="24"/>
          <w:vertAlign w:val="superscript"/>
        </w:rPr>
        <w:t>2</w:t>
      </w:r>
      <w:r>
        <w:rPr>
          <w:sz w:val="18"/>
          <w:szCs w:val="18"/>
        </w:rPr>
        <w:t xml:space="preserve"> [1111-2222-3333-4444]</w:t>
      </w:r>
    </w:p>
    <w:p w14:paraId="37322DC8" w14:textId="77777777" w:rsidR="009926B9" w:rsidRDefault="00833F99">
      <w:pPr>
        <w:spacing w:after="20"/>
        <w:jc w:val="center"/>
      </w:pP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 xml:space="preserve"> Princeton University, Princeton NJ 08544, USA</w:t>
      </w:r>
    </w:p>
    <w:p w14:paraId="1B132055" w14:textId="77777777" w:rsidR="009926B9" w:rsidRDefault="00833F99">
      <w:pPr>
        <w:spacing w:after="100"/>
        <w:jc w:val="center"/>
      </w:pPr>
      <w:r>
        <w:rPr>
          <w:i/>
          <w:iCs/>
          <w:sz w:val="18"/>
          <w:szCs w:val="18"/>
        </w:rPr>
        <w:t>first.author@princeton.edu</w:t>
      </w:r>
    </w:p>
    <w:p w14:paraId="47CC2C14" w14:textId="77777777" w:rsidR="009926B9" w:rsidRDefault="00833F99">
      <w:pPr>
        <w:spacing w:after="20"/>
        <w:jc w:val="center"/>
      </w:pPr>
      <w:r>
        <w:rPr>
          <w:sz w:val="18"/>
          <w:szCs w:val="18"/>
          <w:vertAlign w:val="superscript"/>
        </w:rPr>
        <w:t>2</w:t>
      </w:r>
      <w:r>
        <w:rPr>
          <w:sz w:val="18"/>
          <w:szCs w:val="18"/>
        </w:rPr>
        <w:t xml:space="preserve"> Cairo University, Faculty of Economics and Political Science, Giza 12613, Egypt</w:t>
      </w:r>
    </w:p>
    <w:p w14:paraId="7EC3D4E0" w14:textId="77777777" w:rsidR="009926B9" w:rsidRDefault="00833F99">
      <w:pPr>
        <w:spacing w:after="160"/>
        <w:jc w:val="center"/>
      </w:pPr>
      <w:r>
        <w:rPr>
          <w:i/>
          <w:iCs/>
          <w:sz w:val="18"/>
          <w:szCs w:val="18"/>
        </w:rPr>
        <w:t>second.author@cu.edu.eg</w:t>
      </w:r>
    </w:p>
    <w:p w14:paraId="39CA9EDE" w14:textId="3AC3620A" w:rsidR="009926B9" w:rsidRDefault="00833F99">
      <w:pPr>
        <w:spacing w:after="240"/>
        <w:jc w:val="center"/>
      </w:pPr>
      <w:r>
        <w:rPr>
          <w:i/>
          <w:iCs/>
          <w:sz w:val="18"/>
          <w:szCs w:val="18"/>
        </w:rPr>
        <w:t>* Corresponding author: first.author@princeton.edu</w:t>
      </w:r>
      <w:r w:rsidR="00E75040">
        <w:rPr>
          <w:i/>
          <w:iCs/>
          <w:sz w:val="18"/>
          <w:szCs w:val="18"/>
        </w:rPr>
        <w:t>.com</w:t>
      </w:r>
    </w:p>
    <w:p w14:paraId="2D3D907A" w14:textId="77777777" w:rsidR="009926B9" w:rsidRDefault="00833F99">
      <w:pPr>
        <w:spacing w:after="120"/>
        <w:jc w:val="both"/>
      </w:pPr>
      <w:r>
        <w:rPr>
          <w:b/>
          <w:bCs/>
          <w:sz w:val="18"/>
          <w:szCs w:val="18"/>
        </w:rPr>
        <w:t xml:space="preserve">Abstract. </w:t>
      </w:r>
      <w:r>
        <w:rPr>
          <w:sz w:val="18"/>
          <w:szCs w:val="18"/>
        </w:rPr>
        <w:t xml:space="preserve">Rapid urbanization has steadily reduced the amount of green space available within city </w:t>
      </w:r>
      <w:proofErr w:type="spellStart"/>
      <w:r>
        <w:rPr>
          <w:sz w:val="18"/>
          <w:szCs w:val="18"/>
        </w:rPr>
        <w:t>ce</w:t>
      </w:r>
      <w:r>
        <w:rPr>
          <w:sz w:val="18"/>
          <w:szCs w:val="18"/>
        </w:rPr>
        <w:t>nters</w:t>
      </w:r>
      <w:proofErr w:type="spellEnd"/>
      <w:r>
        <w:rPr>
          <w:sz w:val="18"/>
          <w:szCs w:val="18"/>
        </w:rPr>
        <w:t>, raising concerns about its effects on residents’ physical and mental well-being. Parks, street trees and green roofs are known to lower ambient temperatures, filter air pollutants and provide residents with opportunities for physical activity and so</w:t>
      </w:r>
      <w:r>
        <w:rPr>
          <w:sz w:val="18"/>
          <w:szCs w:val="18"/>
        </w:rPr>
        <w:t>cial interaction. Yet in many rapidly growing cities, green infrastructure is treated as an amenity to be added once other priorities are met, rather than as a core element of urban planning. This gap between recognized benefits and actual investment leave</w:t>
      </w:r>
      <w:r>
        <w:rPr>
          <w:sz w:val="18"/>
          <w:szCs w:val="18"/>
        </w:rPr>
        <w:t xml:space="preserve">s many </w:t>
      </w:r>
      <w:proofErr w:type="spellStart"/>
      <w:r>
        <w:rPr>
          <w:sz w:val="18"/>
          <w:szCs w:val="18"/>
        </w:rPr>
        <w:t>neighborhoods</w:t>
      </w:r>
      <w:proofErr w:type="spellEnd"/>
      <w:r>
        <w:rPr>
          <w:sz w:val="18"/>
          <w:szCs w:val="18"/>
        </w:rPr>
        <w:t>, particularly lower-income ones, without adequate access to green space.</w:t>
      </w:r>
    </w:p>
    <w:p w14:paraId="2DDC6C64" w14:textId="78FF82D6" w:rsidR="009926B9" w:rsidRDefault="00833F99">
      <w:pPr>
        <w:spacing w:after="240"/>
        <w:jc w:val="both"/>
      </w:pPr>
      <w:r>
        <w:rPr>
          <w:sz w:val="18"/>
          <w:szCs w:val="18"/>
        </w:rPr>
        <w:t xml:space="preserve">This study examines how the distribution of urban green infrastructure relates to public health outcomes across </w:t>
      </w:r>
      <w:proofErr w:type="spellStart"/>
      <w:r>
        <w:rPr>
          <w:sz w:val="18"/>
          <w:szCs w:val="18"/>
        </w:rPr>
        <w:t>neighborhoods</w:t>
      </w:r>
      <w:proofErr w:type="spellEnd"/>
      <w:r>
        <w:rPr>
          <w:sz w:val="18"/>
          <w:szCs w:val="18"/>
        </w:rPr>
        <w:t xml:space="preserve"> with different income levels. Drawin</w:t>
      </w:r>
      <w:r>
        <w:rPr>
          <w:sz w:val="18"/>
          <w:szCs w:val="18"/>
        </w:rPr>
        <w:t>g on evidence from multiple metropolitan areas, the analysis suggests that consistent, equitably distributed investment in green infrastructure is associated with measurable reductions in heat-related illness and improvements in reported well-being. The fi</w:t>
      </w:r>
      <w:r>
        <w:rPr>
          <w:sz w:val="18"/>
          <w:szCs w:val="18"/>
        </w:rPr>
        <w:t>ndings point to the value of embedding green infrastructure planning into standard municipal budgeting cycles rather than treating it as a discretionary expense, and they highlight specific policy levers that city planners can use to close existing gaps in</w:t>
      </w:r>
      <w:r>
        <w:rPr>
          <w:sz w:val="18"/>
          <w:szCs w:val="18"/>
        </w:rPr>
        <w:t xml:space="preserve"> access (</w:t>
      </w:r>
      <w:r w:rsidR="00E75040">
        <w:rPr>
          <w:sz w:val="18"/>
          <w:szCs w:val="18"/>
        </w:rPr>
        <w:t>Carter</w:t>
      </w:r>
      <w:r>
        <w:rPr>
          <w:sz w:val="18"/>
          <w:szCs w:val="18"/>
        </w:rPr>
        <w:t>, 2025).</w:t>
      </w:r>
    </w:p>
    <w:p w14:paraId="7C370A85" w14:textId="3FEDBE70" w:rsidR="009926B9" w:rsidRDefault="00833F99">
      <w:pPr>
        <w:spacing w:after="240"/>
      </w:pPr>
      <w:r>
        <w:rPr>
          <w:b/>
          <w:bCs/>
          <w:sz w:val="18"/>
          <w:szCs w:val="18"/>
        </w:rPr>
        <w:t xml:space="preserve">Keywords: </w:t>
      </w:r>
      <w:r>
        <w:rPr>
          <w:sz w:val="18"/>
          <w:szCs w:val="18"/>
        </w:rPr>
        <w:t>First Keyword, Second Keyword, Third Keyword</w:t>
      </w:r>
      <w:r w:rsidR="00F5671E">
        <w:rPr>
          <w:sz w:val="18"/>
          <w:szCs w:val="18"/>
        </w:rPr>
        <w:t xml:space="preserve"> </w:t>
      </w:r>
      <w:r w:rsidR="00F5671E" w:rsidRPr="000661A7">
        <w:rPr>
          <w:b/>
          <w:bCs/>
          <w:sz w:val="18"/>
          <w:szCs w:val="18"/>
        </w:rPr>
        <w:t>(at least 5 keywords)</w:t>
      </w:r>
    </w:p>
    <w:p w14:paraId="669B9A7B" w14:textId="77777777" w:rsidR="009926B9" w:rsidRPr="00AB6A80" w:rsidRDefault="00833F99">
      <w:pPr>
        <w:pStyle w:val="Heading1"/>
        <w:spacing w:before="240" w:after="120"/>
        <w:rPr>
          <w:color w:val="auto"/>
        </w:rPr>
      </w:pPr>
      <w:r w:rsidRPr="00AB6A80">
        <w:rPr>
          <w:b/>
          <w:bCs/>
          <w:color w:val="auto"/>
          <w:sz w:val="24"/>
          <w:szCs w:val="24"/>
        </w:rPr>
        <w:t>1 First Section</w:t>
      </w:r>
    </w:p>
    <w:p w14:paraId="7A825EC9" w14:textId="77777777" w:rsidR="009926B9" w:rsidRPr="00AB6A80" w:rsidRDefault="00833F99">
      <w:pPr>
        <w:pStyle w:val="Heading2"/>
        <w:spacing w:before="180" w:after="120"/>
        <w:rPr>
          <w:color w:val="auto"/>
        </w:rPr>
      </w:pPr>
      <w:r w:rsidRPr="00AB6A80">
        <w:rPr>
          <w:b/>
          <w:bCs/>
          <w:color w:val="auto"/>
          <w:sz w:val="20"/>
          <w:szCs w:val="20"/>
        </w:rPr>
        <w:t>1.1 A Subsection Sample</w:t>
      </w:r>
    </w:p>
    <w:p w14:paraId="767B39C1" w14:textId="77777777" w:rsidR="009926B9" w:rsidRDefault="00833F99" w:rsidP="00F5671E">
      <w:pPr>
        <w:spacing w:after="120" w:line="264" w:lineRule="auto"/>
        <w:jc w:val="both"/>
      </w:pPr>
      <w:r>
        <w:t>The opening paragraph of any section or subsection should not be indented, and the same applies to a paragraph that immediately follow</w:t>
      </w:r>
      <w:r>
        <w:t>s a table, figure or equation.</w:t>
      </w:r>
    </w:p>
    <w:p w14:paraId="7063A150" w14:textId="58B4F558" w:rsidR="009926B9" w:rsidRDefault="00833F99" w:rsidP="00F5671E">
      <w:pPr>
        <w:spacing w:after="120" w:line="264" w:lineRule="auto"/>
        <w:jc w:val="both"/>
      </w:pPr>
      <w:r>
        <w:t xml:space="preserve">Every paragraph after that first one, however, should carry a first-line indent. When citing sources in the running text, </w:t>
      </w:r>
      <w:proofErr w:type="spellStart"/>
      <w:r>
        <w:t>Euromid</w:t>
      </w:r>
      <w:proofErr w:type="spellEnd"/>
      <w:r>
        <w:t xml:space="preserve"> Press asks authors to use the author–year format rather than numbered brackets. A single-author</w:t>
      </w:r>
      <w:r>
        <w:t xml:space="preserve"> work is cited as </w:t>
      </w:r>
      <w:r>
        <w:t>(</w:t>
      </w:r>
      <w:r w:rsidR="00E75040">
        <w:t>Carter</w:t>
      </w:r>
      <w:r>
        <w:t>, 2025)</w:t>
      </w:r>
      <w:r>
        <w:t>, a work with two authors as (</w:t>
      </w:r>
      <w:r w:rsidR="00E75040">
        <w:t>Carter</w:t>
      </w:r>
      <w:r>
        <w:t xml:space="preserve"> &amp; </w:t>
      </w:r>
      <w:proofErr w:type="spellStart"/>
      <w:r>
        <w:t>Elgharbawy</w:t>
      </w:r>
      <w:proofErr w:type="spellEnd"/>
      <w:r>
        <w:t>, 2024), and a work with three or more authors as (</w:t>
      </w:r>
      <w:proofErr w:type="spellStart"/>
      <w:r>
        <w:t>Elhabib</w:t>
      </w:r>
      <w:proofErr w:type="spellEnd"/>
      <w:r>
        <w:t xml:space="preserve"> et al., 2023)</w:t>
      </w:r>
      <w:r>
        <w:t>. When more than one source supports the same statement, list them together and separate them with a semicolon, e.g. (</w:t>
      </w:r>
      <w:r w:rsidR="00E75040">
        <w:t>Carter</w:t>
      </w:r>
      <w:r>
        <w:t xml:space="preserve">, 2025; </w:t>
      </w:r>
      <w:proofErr w:type="spellStart"/>
      <w:r>
        <w:t>Elhabib</w:t>
      </w:r>
      <w:proofErr w:type="spellEnd"/>
      <w:r>
        <w:t xml:space="preserve"> et al., 2023).</w:t>
      </w:r>
    </w:p>
    <w:p w14:paraId="3930722C" w14:textId="77777777" w:rsidR="009926B9" w:rsidRDefault="00833F99" w:rsidP="00F5671E">
      <w:pPr>
        <w:spacing w:before="180" w:after="120"/>
        <w:jc w:val="both"/>
      </w:pPr>
      <w:r>
        <w:rPr>
          <w:b/>
          <w:bCs/>
        </w:rPr>
        <w:t xml:space="preserve">Sample Heading (Third Level). </w:t>
      </w:r>
      <w:r>
        <w:t>Numbering is reserved for the first two heading levels only; anything</w:t>
      </w:r>
      <w:r>
        <w:t xml:space="preserve"> below that stays unnumbered and is styled as a run-in heading instead.</w:t>
      </w:r>
    </w:p>
    <w:p w14:paraId="1298E26C" w14:textId="77777777" w:rsidR="009926B9" w:rsidRDefault="00833F99" w:rsidP="00F5671E">
      <w:pPr>
        <w:spacing w:before="120" w:after="120"/>
        <w:jc w:val="both"/>
      </w:pPr>
      <w:r>
        <w:rPr>
          <w:i/>
          <w:iCs/>
        </w:rPr>
        <w:lastRenderedPageBreak/>
        <w:t xml:space="preserve">Sample Heading (Fourth Level). </w:t>
      </w:r>
      <w:r>
        <w:t>A contribution should not go beyond four heading levels in total. Table 1 summarizes how each level should look.</w:t>
      </w:r>
    </w:p>
    <w:p w14:paraId="0E32F3F2" w14:textId="77777777" w:rsidR="009926B9" w:rsidRDefault="00833F99">
      <w:pPr>
        <w:spacing w:before="120" w:after="60"/>
      </w:pPr>
      <w:r>
        <w:rPr>
          <w:b/>
          <w:bCs/>
          <w:sz w:val="18"/>
          <w:szCs w:val="18"/>
        </w:rPr>
        <w:t xml:space="preserve">Table 1. </w:t>
      </w:r>
      <w:r>
        <w:rPr>
          <w:sz w:val="18"/>
          <w:szCs w:val="18"/>
        </w:rPr>
        <w:t>Table captions should be placed</w:t>
      </w:r>
      <w:r>
        <w:rPr>
          <w:sz w:val="18"/>
          <w:szCs w:val="18"/>
        </w:rPr>
        <w:t xml:space="preserve"> above the tables.</w:t>
      </w:r>
    </w:p>
    <w:tbl>
      <w:tblPr>
        <w:tblW w:w="6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4"/>
        <w:gridCol w:w="3387"/>
        <w:gridCol w:w="1724"/>
      </w:tblGrid>
      <w:tr w:rsidR="009926B9" w14:paraId="35DF6B1D" w14:textId="77777777">
        <w:tblPrEx>
          <w:tblCellMar>
            <w:top w:w="0" w:type="dxa"/>
            <w:bottom w:w="0" w:type="dxa"/>
          </w:tblCellMar>
        </w:tblPrEx>
        <w:tc>
          <w:tcPr>
            <w:tcW w:w="1664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C552EB" w14:textId="77777777" w:rsidR="009926B9" w:rsidRDefault="00833F99">
            <w:r>
              <w:rPr>
                <w:b/>
                <w:bCs/>
                <w:sz w:val="18"/>
                <w:szCs w:val="18"/>
              </w:rPr>
              <w:t>Heading level</w:t>
            </w:r>
          </w:p>
        </w:tc>
        <w:tc>
          <w:tcPr>
            <w:tcW w:w="3387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0AF090" w14:textId="77777777" w:rsidR="009926B9" w:rsidRDefault="00833F99">
            <w:r>
              <w:rPr>
                <w:b/>
                <w:bCs/>
                <w:sz w:val="18"/>
                <w:szCs w:val="18"/>
              </w:rPr>
              <w:t>Example</w:t>
            </w:r>
          </w:p>
        </w:tc>
        <w:tc>
          <w:tcPr>
            <w:tcW w:w="1724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BBB36E" w14:textId="77777777" w:rsidR="009926B9" w:rsidRDefault="00833F99">
            <w:r>
              <w:rPr>
                <w:b/>
                <w:bCs/>
                <w:sz w:val="18"/>
                <w:szCs w:val="18"/>
              </w:rPr>
              <w:t>Font size and style</w:t>
            </w:r>
          </w:p>
        </w:tc>
      </w:tr>
      <w:tr w:rsidR="009926B9" w14:paraId="24263C8B" w14:textId="77777777">
        <w:tblPrEx>
          <w:tblCellMar>
            <w:top w:w="0" w:type="dxa"/>
            <w:bottom w:w="0" w:type="dxa"/>
          </w:tblCellMar>
        </w:tblPrEx>
        <w:tc>
          <w:tcPr>
            <w:tcW w:w="166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1CFD71" w14:textId="77777777" w:rsidR="009926B9" w:rsidRDefault="00833F99">
            <w:r>
              <w:rPr>
                <w:sz w:val="18"/>
                <w:szCs w:val="18"/>
              </w:rPr>
              <w:t>Title (</w:t>
            </w:r>
            <w:proofErr w:type="spellStart"/>
            <w:r>
              <w:rPr>
                <w:sz w:val="18"/>
                <w:szCs w:val="18"/>
              </w:rPr>
              <w:t>centered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338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33C3F3" w14:textId="77777777" w:rsidR="009926B9" w:rsidRDefault="00833F99">
            <w:r>
              <w:rPr>
                <w:b/>
                <w:bCs/>
                <w:sz w:val="18"/>
                <w:szCs w:val="18"/>
              </w:rPr>
              <w:t>Article Title</w:t>
            </w:r>
          </w:p>
        </w:tc>
        <w:tc>
          <w:tcPr>
            <w:tcW w:w="172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F10A54" w14:textId="77777777" w:rsidR="009926B9" w:rsidRDefault="00833F99">
            <w:r>
              <w:rPr>
                <w:sz w:val="18"/>
                <w:szCs w:val="18"/>
              </w:rPr>
              <w:t xml:space="preserve">14 </w:t>
            </w:r>
            <w:proofErr w:type="gramStart"/>
            <w:r>
              <w:rPr>
                <w:sz w:val="18"/>
                <w:szCs w:val="18"/>
              </w:rPr>
              <w:t>point</w:t>
            </w:r>
            <w:proofErr w:type="gramEnd"/>
            <w:r>
              <w:rPr>
                <w:sz w:val="18"/>
                <w:szCs w:val="18"/>
              </w:rPr>
              <w:t>, bold</w:t>
            </w:r>
          </w:p>
        </w:tc>
      </w:tr>
      <w:tr w:rsidR="009926B9" w14:paraId="0FFE2D25" w14:textId="77777777">
        <w:tblPrEx>
          <w:tblCellMar>
            <w:top w:w="0" w:type="dxa"/>
            <w:bottom w:w="0" w:type="dxa"/>
          </w:tblCellMar>
        </w:tblPrEx>
        <w:tc>
          <w:tcPr>
            <w:tcW w:w="166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ED5611" w14:textId="77777777" w:rsidR="009926B9" w:rsidRDefault="00833F99">
            <w:r>
              <w:rPr>
                <w:sz w:val="18"/>
                <w:szCs w:val="18"/>
              </w:rPr>
              <w:t>1st-level heading</w:t>
            </w:r>
          </w:p>
        </w:tc>
        <w:tc>
          <w:tcPr>
            <w:tcW w:w="338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0BC582" w14:textId="77777777" w:rsidR="009926B9" w:rsidRDefault="00833F99">
            <w:r>
              <w:rPr>
                <w:b/>
                <w:bCs/>
                <w:sz w:val="18"/>
                <w:szCs w:val="18"/>
              </w:rPr>
              <w:t>1 Introduction</w:t>
            </w:r>
          </w:p>
        </w:tc>
        <w:tc>
          <w:tcPr>
            <w:tcW w:w="172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A4E551" w14:textId="77777777" w:rsidR="009926B9" w:rsidRDefault="00833F99">
            <w:r>
              <w:rPr>
                <w:sz w:val="18"/>
                <w:szCs w:val="18"/>
              </w:rPr>
              <w:t xml:space="preserve">12 </w:t>
            </w:r>
            <w:proofErr w:type="gramStart"/>
            <w:r>
              <w:rPr>
                <w:sz w:val="18"/>
                <w:szCs w:val="18"/>
              </w:rPr>
              <w:t>point</w:t>
            </w:r>
            <w:proofErr w:type="gramEnd"/>
            <w:r>
              <w:rPr>
                <w:sz w:val="18"/>
                <w:szCs w:val="18"/>
              </w:rPr>
              <w:t>, bold</w:t>
            </w:r>
          </w:p>
        </w:tc>
      </w:tr>
      <w:tr w:rsidR="009926B9" w14:paraId="5A88D1C1" w14:textId="77777777">
        <w:tblPrEx>
          <w:tblCellMar>
            <w:top w:w="0" w:type="dxa"/>
            <w:bottom w:w="0" w:type="dxa"/>
          </w:tblCellMar>
        </w:tblPrEx>
        <w:tc>
          <w:tcPr>
            <w:tcW w:w="166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169A51" w14:textId="77777777" w:rsidR="009926B9" w:rsidRDefault="00833F99">
            <w:r>
              <w:rPr>
                <w:sz w:val="18"/>
                <w:szCs w:val="18"/>
              </w:rPr>
              <w:t>2nd-level heading</w:t>
            </w:r>
          </w:p>
        </w:tc>
        <w:tc>
          <w:tcPr>
            <w:tcW w:w="338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2ADFE7" w14:textId="77777777" w:rsidR="009926B9" w:rsidRDefault="00833F99">
            <w:r>
              <w:rPr>
                <w:b/>
                <w:bCs/>
                <w:sz w:val="18"/>
                <w:szCs w:val="18"/>
              </w:rPr>
              <w:t>2.1 Printing Area</w:t>
            </w:r>
          </w:p>
        </w:tc>
        <w:tc>
          <w:tcPr>
            <w:tcW w:w="172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DC8FE3" w14:textId="77777777" w:rsidR="009926B9" w:rsidRDefault="00833F99">
            <w:r>
              <w:rPr>
                <w:sz w:val="18"/>
                <w:szCs w:val="18"/>
              </w:rPr>
              <w:t xml:space="preserve">10 </w:t>
            </w:r>
            <w:proofErr w:type="gramStart"/>
            <w:r>
              <w:rPr>
                <w:sz w:val="18"/>
                <w:szCs w:val="18"/>
              </w:rPr>
              <w:t>point</w:t>
            </w:r>
            <w:proofErr w:type="gramEnd"/>
            <w:r>
              <w:rPr>
                <w:sz w:val="18"/>
                <w:szCs w:val="18"/>
              </w:rPr>
              <w:t>, bold</w:t>
            </w:r>
          </w:p>
        </w:tc>
      </w:tr>
      <w:tr w:rsidR="009926B9" w14:paraId="5EC29D97" w14:textId="77777777">
        <w:tblPrEx>
          <w:tblCellMar>
            <w:top w:w="0" w:type="dxa"/>
            <w:bottom w:w="0" w:type="dxa"/>
          </w:tblCellMar>
        </w:tblPrEx>
        <w:tc>
          <w:tcPr>
            <w:tcW w:w="166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E3AE3B" w14:textId="77777777" w:rsidR="009926B9" w:rsidRDefault="00833F99">
            <w:r>
              <w:rPr>
                <w:sz w:val="18"/>
                <w:szCs w:val="18"/>
              </w:rPr>
              <w:t>3rd-level heading</w:t>
            </w:r>
          </w:p>
        </w:tc>
        <w:tc>
          <w:tcPr>
            <w:tcW w:w="338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9FF476" w14:textId="77777777" w:rsidR="009926B9" w:rsidRDefault="00833F99">
            <w:r>
              <w:rPr>
                <w:b/>
                <w:bCs/>
                <w:sz w:val="18"/>
                <w:szCs w:val="18"/>
              </w:rPr>
              <w:t>Run-in Heading in Bold. Text follows</w:t>
            </w:r>
          </w:p>
        </w:tc>
        <w:tc>
          <w:tcPr>
            <w:tcW w:w="172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722357" w14:textId="77777777" w:rsidR="009926B9" w:rsidRDefault="00833F99">
            <w:r>
              <w:rPr>
                <w:sz w:val="18"/>
                <w:szCs w:val="18"/>
              </w:rPr>
              <w:t xml:space="preserve">10 </w:t>
            </w:r>
            <w:proofErr w:type="gramStart"/>
            <w:r>
              <w:rPr>
                <w:sz w:val="18"/>
                <w:szCs w:val="18"/>
              </w:rPr>
              <w:t>point</w:t>
            </w:r>
            <w:proofErr w:type="gramEnd"/>
            <w:r>
              <w:rPr>
                <w:sz w:val="18"/>
                <w:szCs w:val="18"/>
              </w:rPr>
              <w:t>, bold</w:t>
            </w:r>
          </w:p>
        </w:tc>
      </w:tr>
      <w:tr w:rsidR="009926B9" w14:paraId="16FE7937" w14:textId="77777777">
        <w:tblPrEx>
          <w:tblCellMar>
            <w:top w:w="0" w:type="dxa"/>
            <w:bottom w:w="0" w:type="dxa"/>
          </w:tblCellMar>
        </w:tblPrEx>
        <w:tc>
          <w:tcPr>
            <w:tcW w:w="166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2493A7" w14:textId="77777777" w:rsidR="009926B9" w:rsidRDefault="00833F99">
            <w:r>
              <w:rPr>
                <w:sz w:val="18"/>
                <w:szCs w:val="18"/>
              </w:rPr>
              <w:t>4th-level heading</w:t>
            </w:r>
          </w:p>
        </w:tc>
        <w:tc>
          <w:tcPr>
            <w:tcW w:w="338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4159C9" w14:textId="77777777" w:rsidR="009926B9" w:rsidRDefault="00833F99">
            <w:r>
              <w:rPr>
                <w:i/>
                <w:iCs/>
                <w:sz w:val="18"/>
                <w:szCs w:val="18"/>
              </w:rPr>
              <w:t>Lowest Level Heading. Text follows</w:t>
            </w:r>
          </w:p>
        </w:tc>
        <w:tc>
          <w:tcPr>
            <w:tcW w:w="172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1E786A" w14:textId="77777777" w:rsidR="009926B9" w:rsidRDefault="00833F99">
            <w:proofErr w:type="gramStart"/>
            <w:r>
              <w:rPr>
                <w:sz w:val="18"/>
                <w:szCs w:val="18"/>
              </w:rPr>
              <w:t>10 point</w:t>
            </w:r>
            <w:proofErr w:type="gramEnd"/>
            <w:r>
              <w:rPr>
                <w:sz w:val="18"/>
                <w:szCs w:val="18"/>
              </w:rPr>
              <w:t>, italic</w:t>
            </w:r>
          </w:p>
        </w:tc>
      </w:tr>
    </w:tbl>
    <w:p w14:paraId="3B7CEC60" w14:textId="77777777" w:rsidR="009926B9" w:rsidRDefault="00833F99">
      <w:pPr>
        <w:spacing w:before="240" w:after="120"/>
      </w:pPr>
      <w:r>
        <w:t xml:space="preserve">Equations that are set apart from the text should be </w:t>
      </w:r>
      <w:proofErr w:type="spellStart"/>
      <w:r>
        <w:t>centered</w:t>
      </w:r>
      <w:proofErr w:type="spellEnd"/>
      <w:r>
        <w:t xml:space="preserve"> on their own line, as illustrated in Equation (1).</w:t>
      </w:r>
    </w:p>
    <w:p w14:paraId="4284FDF6" w14:textId="77777777" w:rsidR="009926B9" w:rsidRDefault="00833F99">
      <w:pPr>
        <w:tabs>
          <w:tab w:val="right" w:pos="9026"/>
        </w:tabs>
        <w:spacing w:after="240"/>
        <w:jc w:val="center"/>
      </w:pPr>
      <w:r>
        <w:rPr>
          <w:i/>
          <w:iCs/>
        </w:rPr>
        <w:t>x + y = z</w:t>
      </w:r>
      <w:r>
        <w:tab/>
        <w:t>(1)</w:t>
      </w:r>
    </w:p>
    <w:p w14:paraId="030F8D1B" w14:textId="77777777" w:rsidR="009926B9" w:rsidRDefault="00833F99">
      <w:pPr>
        <w:spacing w:after="120" w:line="264" w:lineRule="auto"/>
        <w:jc w:val="both"/>
      </w:pPr>
      <w:r>
        <w:t>For line-art diagrams and schematics, vector graphics are preferred over rasterized images wherever this is possible (see Fig. 1)</w:t>
      </w:r>
      <w:r>
        <w:t>.</w:t>
      </w:r>
    </w:p>
    <w:p w14:paraId="06A4E3E8" w14:textId="77777777" w:rsidR="009926B9" w:rsidRDefault="00833F99">
      <w:pPr>
        <w:spacing w:before="240" w:after="60"/>
        <w:jc w:val="center"/>
      </w:pPr>
      <w:r>
        <w:rPr>
          <w:noProof/>
        </w:rPr>
        <w:drawing>
          <wp:inline distT="0" distB="0" distL="0" distR="0" wp14:anchorId="7BDCC909" wp14:editId="60194A64">
            <wp:extent cx="4000500" cy="2190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7FD5E" w14:textId="77777777" w:rsidR="009926B9" w:rsidRDefault="00833F99">
      <w:pPr>
        <w:spacing w:after="240"/>
        <w:jc w:val="center"/>
      </w:pPr>
      <w:r>
        <w:rPr>
          <w:b/>
          <w:bCs/>
          <w:sz w:val="18"/>
          <w:szCs w:val="18"/>
        </w:rPr>
        <w:t xml:space="preserve">Fig. 1. </w:t>
      </w:r>
      <w:r>
        <w:rPr>
          <w:sz w:val="18"/>
          <w:szCs w:val="18"/>
        </w:rPr>
        <w:t xml:space="preserve">A figure caption is always placed below the illustration. Short captions are </w:t>
      </w:r>
      <w:proofErr w:type="spellStart"/>
      <w:r>
        <w:rPr>
          <w:sz w:val="18"/>
          <w:szCs w:val="18"/>
        </w:rPr>
        <w:t>centered</w:t>
      </w:r>
      <w:proofErr w:type="spellEnd"/>
      <w:r>
        <w:rPr>
          <w:sz w:val="18"/>
          <w:szCs w:val="18"/>
        </w:rPr>
        <w:t>, while long ones are justified.</w:t>
      </w:r>
    </w:p>
    <w:p w14:paraId="594FF7EC" w14:textId="7E019B1D" w:rsidR="009926B9" w:rsidRDefault="00833F99">
      <w:pPr>
        <w:spacing w:after="240"/>
        <w:jc w:val="both"/>
      </w:pPr>
      <w:r>
        <w:t xml:space="preserve">Rather than numbering sources with square brackets, </w:t>
      </w:r>
      <w:proofErr w:type="spellStart"/>
      <w:r>
        <w:t>Euromid</w:t>
      </w:r>
      <w:proofErr w:type="spellEnd"/>
      <w:r>
        <w:t xml:space="preserve"> Press asks authors to identify each source by surname and publicat</w:t>
      </w:r>
      <w:r>
        <w:t>ion year in parentheses, for instance (</w:t>
      </w:r>
      <w:r w:rsidR="00E75040">
        <w:t>Carter</w:t>
      </w:r>
      <w:r>
        <w:t>, 2025). If the author’s name is already part of the sentence, only the year needs to be placed in parentheses, as in “</w:t>
      </w:r>
      <w:r w:rsidR="00E75040">
        <w:t>Carter</w:t>
      </w:r>
      <w:r>
        <w:t xml:space="preserve"> (2025) shows that…”. The list at the end of the paper illustrates this format acr</w:t>
      </w:r>
      <w:r>
        <w:t>oss several source types — a journal article, a proceedings paper, a book, a conference contribution and a website — arranged alphabetically by the first author’s surname.</w:t>
      </w:r>
    </w:p>
    <w:p w14:paraId="6BE7024E" w14:textId="77777777" w:rsidR="009926B9" w:rsidRPr="00AB6A80" w:rsidRDefault="00833F99">
      <w:pPr>
        <w:pStyle w:val="Heading1"/>
        <w:spacing w:before="240" w:after="160"/>
        <w:rPr>
          <w:color w:val="auto"/>
        </w:rPr>
      </w:pPr>
      <w:r w:rsidRPr="00AB6A80">
        <w:rPr>
          <w:b/>
          <w:bCs/>
          <w:color w:val="auto"/>
          <w:sz w:val="24"/>
          <w:szCs w:val="24"/>
        </w:rPr>
        <w:lastRenderedPageBreak/>
        <w:t>References</w:t>
      </w:r>
    </w:p>
    <w:p w14:paraId="16F73049" w14:textId="2E63C0EC" w:rsidR="00C40630" w:rsidRPr="00C40630" w:rsidRDefault="00C40630" w:rsidP="00C40630">
      <w:pPr>
        <w:spacing w:after="120"/>
        <w:ind w:left="360" w:hanging="360"/>
        <w:jc w:val="both"/>
        <w:rPr>
          <w:sz w:val="18"/>
          <w:szCs w:val="18"/>
        </w:rPr>
      </w:pPr>
      <w:r>
        <w:rPr>
          <w:sz w:val="18"/>
          <w:szCs w:val="18"/>
        </w:rPr>
        <w:t>Carter</w:t>
      </w:r>
      <w:r w:rsidRPr="00C40630">
        <w:rPr>
          <w:sz w:val="18"/>
          <w:szCs w:val="18"/>
        </w:rPr>
        <w:t>, B. (2025). Digital transformation and economic diversification in emerging markets. Journal of Development Economics, 52(3), 99–110.</w:t>
      </w:r>
    </w:p>
    <w:p w14:paraId="24042010" w14:textId="6D953C7A" w:rsidR="00C40630" w:rsidRPr="00C40630" w:rsidRDefault="00C40630" w:rsidP="00C40630">
      <w:pPr>
        <w:spacing w:after="120"/>
        <w:ind w:left="360" w:hanging="360"/>
        <w:jc w:val="both"/>
        <w:rPr>
          <w:sz w:val="18"/>
          <w:szCs w:val="18"/>
        </w:rPr>
      </w:pPr>
      <w:r>
        <w:rPr>
          <w:sz w:val="18"/>
          <w:szCs w:val="18"/>
        </w:rPr>
        <w:t>Carter</w:t>
      </w:r>
      <w:r w:rsidRPr="00C40630">
        <w:rPr>
          <w:sz w:val="18"/>
          <w:szCs w:val="18"/>
        </w:rPr>
        <w:t xml:space="preserve">, B., &amp; </w:t>
      </w:r>
      <w:proofErr w:type="spellStart"/>
      <w:r w:rsidRPr="00C40630">
        <w:rPr>
          <w:sz w:val="18"/>
          <w:szCs w:val="18"/>
        </w:rPr>
        <w:t>Elgharbawy</w:t>
      </w:r>
      <w:proofErr w:type="spellEnd"/>
      <w:r w:rsidRPr="00C40630">
        <w:rPr>
          <w:sz w:val="18"/>
          <w:szCs w:val="18"/>
        </w:rPr>
        <w:t xml:space="preserve">, A. (2024). Export concentration and growth volatility: Evidence from the MENA region. In F. Editor &amp; S. Editor (Eds.), Proceedings of the </w:t>
      </w:r>
      <w:proofErr w:type="spellStart"/>
      <w:r w:rsidRPr="00C40630">
        <w:rPr>
          <w:sz w:val="18"/>
          <w:szCs w:val="18"/>
        </w:rPr>
        <w:t>Euromid</w:t>
      </w:r>
      <w:proofErr w:type="spellEnd"/>
      <w:r w:rsidRPr="00C40630">
        <w:rPr>
          <w:sz w:val="18"/>
          <w:szCs w:val="18"/>
        </w:rPr>
        <w:t xml:space="preserve"> Conference on Economic Policy (pp. 1–13). </w:t>
      </w:r>
      <w:proofErr w:type="spellStart"/>
      <w:r w:rsidRPr="00C40630">
        <w:rPr>
          <w:sz w:val="18"/>
          <w:szCs w:val="18"/>
        </w:rPr>
        <w:t>Euromid</w:t>
      </w:r>
      <w:proofErr w:type="spellEnd"/>
      <w:r w:rsidRPr="00C40630">
        <w:rPr>
          <w:sz w:val="18"/>
          <w:szCs w:val="18"/>
        </w:rPr>
        <w:t xml:space="preserve"> Press.</w:t>
      </w:r>
    </w:p>
    <w:p w14:paraId="4D4EBA7D" w14:textId="77777777" w:rsidR="00C40630" w:rsidRPr="00C40630" w:rsidRDefault="00C40630" w:rsidP="00C40630">
      <w:pPr>
        <w:spacing w:after="120"/>
        <w:ind w:left="360" w:hanging="360"/>
        <w:jc w:val="both"/>
        <w:rPr>
          <w:sz w:val="18"/>
          <w:szCs w:val="18"/>
        </w:rPr>
      </w:pPr>
      <w:r w:rsidRPr="00C40630">
        <w:rPr>
          <w:sz w:val="18"/>
          <w:szCs w:val="18"/>
        </w:rPr>
        <w:t>Author, F. (2010). Contribution title. In Proceedings of the 9th International Conference on Development Economics (pp. 1–2). Publisher.</w:t>
      </w:r>
    </w:p>
    <w:p w14:paraId="60551B7C" w14:textId="77777777" w:rsidR="00C40630" w:rsidRPr="00C40630" w:rsidRDefault="00C40630" w:rsidP="00C40630">
      <w:pPr>
        <w:spacing w:after="120"/>
        <w:ind w:left="360" w:hanging="360"/>
        <w:jc w:val="both"/>
        <w:rPr>
          <w:sz w:val="18"/>
          <w:szCs w:val="18"/>
        </w:rPr>
      </w:pPr>
      <w:r w:rsidRPr="00C40630">
        <w:rPr>
          <w:sz w:val="18"/>
          <w:szCs w:val="18"/>
        </w:rPr>
        <w:t>Bakr, N., &amp; Youssef, H. (2022). Urban green space accessibility and heat-related morbidity in North African cities. Urban Climate, 41, 101052.</w:t>
      </w:r>
    </w:p>
    <w:p w14:paraId="3C0C483A" w14:textId="77777777" w:rsidR="00C40630" w:rsidRPr="00C40630" w:rsidRDefault="00C40630" w:rsidP="00C40630">
      <w:pPr>
        <w:spacing w:after="120"/>
        <w:ind w:left="360" w:hanging="360"/>
        <w:jc w:val="both"/>
        <w:rPr>
          <w:sz w:val="18"/>
          <w:szCs w:val="18"/>
        </w:rPr>
      </w:pPr>
      <w:r w:rsidRPr="00C40630">
        <w:rPr>
          <w:sz w:val="18"/>
          <w:szCs w:val="18"/>
        </w:rPr>
        <w:t>Chen, L., Osei, K., &amp; Rahman, T. (2021). Equity in park distribution: A cross-city comparison. Landscape and Urban Planning, 210, 104078.</w:t>
      </w:r>
    </w:p>
    <w:p w14:paraId="3E3BAD4A" w14:textId="77777777" w:rsidR="00C40630" w:rsidRPr="00C40630" w:rsidRDefault="00C40630" w:rsidP="00C40630">
      <w:pPr>
        <w:spacing w:after="120"/>
        <w:ind w:left="360" w:hanging="360"/>
        <w:jc w:val="both"/>
        <w:rPr>
          <w:sz w:val="18"/>
          <w:szCs w:val="18"/>
        </w:rPr>
      </w:pPr>
      <w:proofErr w:type="spellStart"/>
      <w:r w:rsidRPr="00C40630">
        <w:rPr>
          <w:sz w:val="18"/>
          <w:szCs w:val="18"/>
        </w:rPr>
        <w:t>Elhabib</w:t>
      </w:r>
      <w:proofErr w:type="spellEnd"/>
      <w:r w:rsidRPr="00C40630">
        <w:rPr>
          <w:sz w:val="18"/>
          <w:szCs w:val="18"/>
        </w:rPr>
        <w:t xml:space="preserve">, M., Author, S., &amp; Author, T. (2023). Diversifying developing economies (2nd ed.). </w:t>
      </w:r>
      <w:proofErr w:type="spellStart"/>
      <w:r w:rsidRPr="00C40630">
        <w:rPr>
          <w:sz w:val="18"/>
          <w:szCs w:val="18"/>
        </w:rPr>
        <w:t>Euromid</w:t>
      </w:r>
      <w:proofErr w:type="spellEnd"/>
      <w:r w:rsidRPr="00C40630">
        <w:rPr>
          <w:sz w:val="18"/>
          <w:szCs w:val="18"/>
        </w:rPr>
        <w:t xml:space="preserve"> Press.</w:t>
      </w:r>
    </w:p>
    <w:p w14:paraId="1273D005" w14:textId="77777777" w:rsidR="00C40630" w:rsidRPr="00C40630" w:rsidRDefault="00C40630" w:rsidP="00C40630">
      <w:pPr>
        <w:spacing w:after="120"/>
        <w:ind w:left="360" w:hanging="360"/>
        <w:jc w:val="both"/>
        <w:rPr>
          <w:sz w:val="18"/>
          <w:szCs w:val="18"/>
        </w:rPr>
      </w:pPr>
      <w:proofErr w:type="spellStart"/>
      <w:r w:rsidRPr="00C40630">
        <w:rPr>
          <w:sz w:val="18"/>
          <w:szCs w:val="18"/>
        </w:rPr>
        <w:t>Euromid</w:t>
      </w:r>
      <w:proofErr w:type="spellEnd"/>
      <w:r w:rsidRPr="00C40630">
        <w:rPr>
          <w:sz w:val="18"/>
          <w:szCs w:val="18"/>
        </w:rPr>
        <w:t xml:space="preserve"> Press. (2026). </w:t>
      </w:r>
      <w:proofErr w:type="spellStart"/>
      <w:r w:rsidRPr="00C40630">
        <w:rPr>
          <w:sz w:val="18"/>
          <w:szCs w:val="18"/>
        </w:rPr>
        <w:t>Euromid</w:t>
      </w:r>
      <w:proofErr w:type="spellEnd"/>
      <w:r w:rsidRPr="00C40630">
        <w:rPr>
          <w:sz w:val="18"/>
          <w:szCs w:val="18"/>
        </w:rPr>
        <w:t xml:space="preserve"> Press homepage. https://www.euromidpress.com (accessed 21 November 2025).</w:t>
      </w:r>
    </w:p>
    <w:p w14:paraId="00000505" w14:textId="77777777" w:rsidR="00C40630" w:rsidRPr="00C40630" w:rsidRDefault="00C40630" w:rsidP="00C40630">
      <w:pPr>
        <w:spacing w:after="120"/>
        <w:ind w:left="360" w:hanging="360"/>
        <w:jc w:val="both"/>
        <w:rPr>
          <w:sz w:val="18"/>
          <w:szCs w:val="18"/>
        </w:rPr>
      </w:pPr>
      <w:r w:rsidRPr="00C40630">
        <w:rPr>
          <w:sz w:val="18"/>
          <w:szCs w:val="18"/>
        </w:rPr>
        <w:t>Farouk, S. (2019). Green roofs and building energy performance in arid climates (Master’s thesis). Cairo University.</w:t>
      </w:r>
    </w:p>
    <w:p w14:paraId="1BCD42F2" w14:textId="77777777" w:rsidR="00C40630" w:rsidRPr="00C40630" w:rsidRDefault="00C40630" w:rsidP="00C40630">
      <w:pPr>
        <w:spacing w:after="120"/>
        <w:ind w:left="360" w:hanging="360"/>
        <w:jc w:val="both"/>
        <w:rPr>
          <w:sz w:val="18"/>
          <w:szCs w:val="18"/>
        </w:rPr>
      </w:pPr>
      <w:r w:rsidRPr="00C40630">
        <w:rPr>
          <w:sz w:val="18"/>
          <w:szCs w:val="18"/>
        </w:rPr>
        <w:t xml:space="preserve">Karimi, A. (2020). Nature-based solutions for climate-resilient cities. In R. Novak (Ed.), Handbook of urban resilience (pp. 145–168). </w:t>
      </w:r>
      <w:proofErr w:type="spellStart"/>
      <w:r w:rsidRPr="00C40630">
        <w:rPr>
          <w:sz w:val="18"/>
          <w:szCs w:val="18"/>
        </w:rPr>
        <w:t>Euromid</w:t>
      </w:r>
      <w:proofErr w:type="spellEnd"/>
      <w:r w:rsidRPr="00C40630">
        <w:rPr>
          <w:sz w:val="18"/>
          <w:szCs w:val="18"/>
        </w:rPr>
        <w:t xml:space="preserve"> Press.</w:t>
      </w:r>
    </w:p>
    <w:p w14:paraId="2C8E0540" w14:textId="77777777" w:rsidR="00C40630" w:rsidRPr="00C40630" w:rsidRDefault="00C40630" w:rsidP="00C40630">
      <w:pPr>
        <w:spacing w:after="120"/>
        <w:ind w:left="360" w:hanging="360"/>
        <w:jc w:val="both"/>
        <w:rPr>
          <w:sz w:val="18"/>
          <w:szCs w:val="18"/>
        </w:rPr>
      </w:pPr>
      <w:r w:rsidRPr="00C40630">
        <w:rPr>
          <w:sz w:val="18"/>
          <w:szCs w:val="18"/>
        </w:rPr>
        <w:t xml:space="preserve">Mensah, K., &amp; Diallo, F. (2022). Financing urban resilience in Sub-Saharan Africa (Working Paper No. 2022-07). </w:t>
      </w:r>
      <w:proofErr w:type="spellStart"/>
      <w:r w:rsidRPr="00C40630">
        <w:rPr>
          <w:sz w:val="18"/>
          <w:szCs w:val="18"/>
        </w:rPr>
        <w:t>Euromid</w:t>
      </w:r>
      <w:proofErr w:type="spellEnd"/>
      <w:r w:rsidRPr="00C40630">
        <w:rPr>
          <w:sz w:val="18"/>
          <w:szCs w:val="18"/>
        </w:rPr>
        <w:t xml:space="preserve"> Institute for Urban Studies.</w:t>
      </w:r>
    </w:p>
    <w:p w14:paraId="5F6C2684" w14:textId="77777777" w:rsidR="00C40630" w:rsidRPr="00C40630" w:rsidRDefault="00C40630" w:rsidP="00C40630">
      <w:pPr>
        <w:spacing w:after="120"/>
        <w:ind w:left="360" w:hanging="360"/>
        <w:jc w:val="both"/>
        <w:rPr>
          <w:sz w:val="18"/>
          <w:szCs w:val="18"/>
        </w:rPr>
      </w:pPr>
      <w:r w:rsidRPr="00C40630">
        <w:rPr>
          <w:sz w:val="18"/>
          <w:szCs w:val="18"/>
        </w:rPr>
        <w:t>Ministry of Housing, Utilities and Urban Communities. (2022). National urban green space strategy 2022–2030. Government of Egypt.</w:t>
      </w:r>
    </w:p>
    <w:p w14:paraId="530E6D9E" w14:textId="77777777" w:rsidR="00C40630" w:rsidRPr="00C40630" w:rsidRDefault="00C40630" w:rsidP="00C40630">
      <w:pPr>
        <w:spacing w:after="120"/>
        <w:ind w:left="360" w:hanging="360"/>
        <w:jc w:val="both"/>
        <w:rPr>
          <w:sz w:val="18"/>
          <w:szCs w:val="18"/>
        </w:rPr>
      </w:pPr>
      <w:r w:rsidRPr="00C40630">
        <w:rPr>
          <w:sz w:val="18"/>
          <w:szCs w:val="18"/>
        </w:rPr>
        <w:t>Nassar, D., &amp; Ibrahim, R. (2018). Public health benefits of street tree canopy: Evidence from Amman. Journal of Environmental Health, 80(4), 22–29.</w:t>
      </w:r>
    </w:p>
    <w:p w14:paraId="6B90342B" w14:textId="77777777" w:rsidR="00C40630" w:rsidRPr="00C40630" w:rsidRDefault="00C40630" w:rsidP="00C40630">
      <w:pPr>
        <w:spacing w:after="120"/>
        <w:ind w:left="360" w:hanging="360"/>
        <w:jc w:val="both"/>
        <w:rPr>
          <w:sz w:val="18"/>
          <w:szCs w:val="18"/>
        </w:rPr>
      </w:pPr>
      <w:r w:rsidRPr="00C40630">
        <w:rPr>
          <w:sz w:val="18"/>
          <w:szCs w:val="18"/>
        </w:rPr>
        <w:t>Saleh, R. (2024, March 14). Cities race to green their streets before summer heat peaks. The Cairo Herald. https://www.cairoherald.com/cities-green-streets</w:t>
      </w:r>
    </w:p>
    <w:p w14:paraId="162E336F" w14:textId="77777777" w:rsidR="00C40630" w:rsidRPr="00C40630" w:rsidRDefault="00C40630" w:rsidP="00C40630">
      <w:pPr>
        <w:spacing w:after="120"/>
        <w:ind w:left="360" w:hanging="360"/>
        <w:jc w:val="both"/>
        <w:rPr>
          <w:sz w:val="18"/>
          <w:szCs w:val="18"/>
        </w:rPr>
      </w:pPr>
      <w:r w:rsidRPr="00C40630">
        <w:rPr>
          <w:sz w:val="18"/>
          <w:szCs w:val="18"/>
        </w:rPr>
        <w:t>United Nations Human Settlements Programme. (2021). Global urban green space database [Data set]. UN-Habitat. https://data.unhabitat.org/datasets/green-space</w:t>
      </w:r>
    </w:p>
    <w:p w14:paraId="4962763F" w14:textId="1AFD8F79" w:rsidR="00640D29" w:rsidRDefault="00C40630" w:rsidP="00C40630">
      <w:pPr>
        <w:spacing w:after="120"/>
        <w:ind w:left="360" w:hanging="360"/>
        <w:jc w:val="both"/>
        <w:rPr>
          <w:sz w:val="18"/>
          <w:szCs w:val="18"/>
        </w:rPr>
      </w:pPr>
      <w:r w:rsidRPr="00C40630">
        <w:rPr>
          <w:sz w:val="18"/>
          <w:szCs w:val="18"/>
        </w:rPr>
        <w:t>World Health Organization. (2023). Urban green space interventions and health: A review of impacts and effectiveness (Report No. WHO/EURO/2023-5678). World Health Organization.</w:t>
      </w:r>
    </w:p>
    <w:p w14:paraId="0C75DE17" w14:textId="20D5D6A0" w:rsidR="00DF3EDE" w:rsidRDefault="00DF3EDE" w:rsidP="00C40630">
      <w:pPr>
        <w:spacing w:after="120"/>
        <w:ind w:left="360" w:hanging="360"/>
        <w:jc w:val="both"/>
        <w:rPr>
          <w:sz w:val="18"/>
          <w:szCs w:val="18"/>
        </w:rPr>
      </w:pPr>
    </w:p>
    <w:p w14:paraId="4697696E" w14:textId="39B4685E" w:rsidR="00DF3EDE" w:rsidRDefault="00DF3EDE" w:rsidP="00C40630">
      <w:pPr>
        <w:spacing w:after="120"/>
        <w:ind w:left="360" w:hanging="360"/>
        <w:jc w:val="both"/>
        <w:rPr>
          <w:sz w:val="18"/>
          <w:szCs w:val="18"/>
        </w:rPr>
      </w:pPr>
    </w:p>
    <w:p w14:paraId="5914BBF5" w14:textId="37B28EAE" w:rsidR="00DF3EDE" w:rsidRPr="00DF3EDE" w:rsidRDefault="00DF3EDE" w:rsidP="00DF3EDE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120"/>
        <w:ind w:left="360" w:hanging="360"/>
        <w:jc w:val="both"/>
        <w:rPr>
          <w:b/>
          <w:bCs/>
        </w:rPr>
      </w:pPr>
      <w:r w:rsidRPr="00DF3EDE">
        <w:rPr>
          <w:b/>
          <w:bCs/>
          <w:sz w:val="18"/>
          <w:szCs w:val="18"/>
        </w:rPr>
        <w:t>Note: All references listed in the reference list must be cited in the main text, and all in-text citations must have corresponding entries in the reference list.</w:t>
      </w:r>
    </w:p>
    <w:sectPr w:rsidR="00DF3EDE" w:rsidRPr="00DF3EDE">
      <w:footerReference w:type="default" r:id="rId9"/>
      <w:pgSz w:w="11906" w:h="16838"/>
      <w:pgMar w:top="2948" w:right="2494" w:bottom="2948" w:left="2494" w:header="2381" w:footer="23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7584D" w14:textId="77777777" w:rsidR="00833F99" w:rsidRDefault="00833F99">
      <w:r>
        <w:separator/>
      </w:r>
    </w:p>
  </w:endnote>
  <w:endnote w:type="continuationSeparator" w:id="0">
    <w:p w14:paraId="1D982943" w14:textId="77777777" w:rsidR="00833F99" w:rsidRDefault="00833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1CABD" w14:textId="77777777" w:rsidR="009926B9" w:rsidRDefault="00833F99">
    <w:pPr>
      <w:jc w:val="cen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E75040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5E976" w14:textId="77777777" w:rsidR="00833F99" w:rsidRDefault="00833F99">
      <w:r>
        <w:separator/>
      </w:r>
    </w:p>
  </w:footnote>
  <w:footnote w:type="continuationSeparator" w:id="0">
    <w:p w14:paraId="4AB4FEBB" w14:textId="77777777" w:rsidR="00833F99" w:rsidRDefault="00833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C14DA"/>
    <w:multiLevelType w:val="hybridMultilevel"/>
    <w:tmpl w:val="395E5C76"/>
    <w:lvl w:ilvl="0" w:tplc="AFF25844">
      <w:start w:val="1"/>
      <w:numFmt w:val="bullet"/>
      <w:lvlText w:val="●"/>
      <w:lvlJc w:val="left"/>
      <w:pPr>
        <w:ind w:left="720" w:hanging="360"/>
      </w:pPr>
    </w:lvl>
    <w:lvl w:ilvl="1" w:tplc="B4B884A6">
      <w:start w:val="1"/>
      <w:numFmt w:val="bullet"/>
      <w:lvlText w:val="○"/>
      <w:lvlJc w:val="left"/>
      <w:pPr>
        <w:ind w:left="1440" w:hanging="360"/>
      </w:pPr>
    </w:lvl>
    <w:lvl w:ilvl="2" w:tplc="43846C6E">
      <w:start w:val="1"/>
      <w:numFmt w:val="bullet"/>
      <w:lvlText w:val="■"/>
      <w:lvlJc w:val="left"/>
      <w:pPr>
        <w:ind w:left="2160" w:hanging="360"/>
      </w:pPr>
    </w:lvl>
    <w:lvl w:ilvl="3" w:tplc="22B4D640">
      <w:start w:val="1"/>
      <w:numFmt w:val="bullet"/>
      <w:lvlText w:val="●"/>
      <w:lvlJc w:val="left"/>
      <w:pPr>
        <w:ind w:left="2880" w:hanging="360"/>
      </w:pPr>
    </w:lvl>
    <w:lvl w:ilvl="4" w:tplc="FEC6A3B8">
      <w:start w:val="1"/>
      <w:numFmt w:val="bullet"/>
      <w:lvlText w:val="○"/>
      <w:lvlJc w:val="left"/>
      <w:pPr>
        <w:ind w:left="3600" w:hanging="360"/>
      </w:pPr>
    </w:lvl>
    <w:lvl w:ilvl="5" w:tplc="546C2340">
      <w:start w:val="1"/>
      <w:numFmt w:val="bullet"/>
      <w:lvlText w:val="■"/>
      <w:lvlJc w:val="left"/>
      <w:pPr>
        <w:ind w:left="4320" w:hanging="360"/>
      </w:pPr>
    </w:lvl>
    <w:lvl w:ilvl="6" w:tplc="B41E5AFA">
      <w:start w:val="1"/>
      <w:numFmt w:val="bullet"/>
      <w:lvlText w:val="●"/>
      <w:lvlJc w:val="left"/>
      <w:pPr>
        <w:ind w:left="5040" w:hanging="360"/>
      </w:pPr>
    </w:lvl>
    <w:lvl w:ilvl="7" w:tplc="90441E2A">
      <w:start w:val="1"/>
      <w:numFmt w:val="bullet"/>
      <w:lvlText w:val="●"/>
      <w:lvlJc w:val="left"/>
      <w:pPr>
        <w:ind w:left="5760" w:hanging="360"/>
      </w:pPr>
    </w:lvl>
    <w:lvl w:ilvl="8" w:tplc="AC801B3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6B9"/>
    <w:rsid w:val="000661A7"/>
    <w:rsid w:val="00640D29"/>
    <w:rsid w:val="00833F99"/>
    <w:rsid w:val="009926B9"/>
    <w:rsid w:val="00A355D3"/>
    <w:rsid w:val="00AB6A80"/>
    <w:rsid w:val="00B03A7A"/>
    <w:rsid w:val="00C40630"/>
    <w:rsid w:val="00D252CE"/>
    <w:rsid w:val="00DF3EDE"/>
    <w:rsid w:val="00E75040"/>
    <w:rsid w:val="00F5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C519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750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040"/>
  </w:style>
  <w:style w:type="paragraph" w:styleId="Footer">
    <w:name w:val="footer"/>
    <w:basedOn w:val="Normal"/>
    <w:link w:val="FooterChar"/>
    <w:uiPriority w:val="99"/>
    <w:unhideWhenUsed/>
    <w:rsid w:val="00E750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7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DE8DC-DC9B-4802-964D-543FA4C1D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2026-07-01T07:40:00Z</dcterms:created>
  <dcterms:modified xsi:type="dcterms:W3CDTF">2026-07-01T07:40:00Z</dcterms:modified>
</cp:coreProperties>
</file>